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6D1A" w14:textId="77777777" w:rsidR="00BC7DEC" w:rsidRDefault="00BC7DEC" w:rsidP="00BC7DEC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14:paraId="06614448" w14:textId="77777777" w:rsidR="00BC7DEC" w:rsidRPr="00D326AE" w:rsidRDefault="00BC7DEC" w:rsidP="00BC7DEC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D326AE">
        <w:rPr>
          <w:b/>
        </w:rPr>
        <w:t>АННОТАЦИЯ</w:t>
      </w:r>
    </w:p>
    <w:p w14:paraId="5C853CB8" w14:textId="77777777" w:rsidR="00BC7DEC" w:rsidRPr="00D326AE" w:rsidRDefault="00BC7DEC" w:rsidP="00BC7DEC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D326AE">
        <w:rPr>
          <w:b/>
        </w:rPr>
        <w:t>рабочей программы дисциплины</w:t>
      </w:r>
    </w:p>
    <w:p w14:paraId="7E775261" w14:textId="77777777" w:rsidR="00BC7DEC" w:rsidRPr="00D326AE" w:rsidRDefault="00BC7DEC" w:rsidP="00BC7DEC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D326AE">
        <w:rPr>
          <w:b/>
        </w:rPr>
        <w:t>Основы иммунологии</w:t>
      </w:r>
    </w:p>
    <w:p w14:paraId="42A056E3" w14:textId="77777777" w:rsidR="00BC7DEC" w:rsidRPr="00D326AE" w:rsidRDefault="00BC7DEC" w:rsidP="00BC7DEC">
      <w:pPr>
        <w:autoSpaceDE w:val="0"/>
        <w:autoSpaceDN w:val="0"/>
        <w:adjustRightInd w:val="0"/>
        <w:spacing w:line="276" w:lineRule="auto"/>
        <w:ind w:firstLine="567"/>
        <w:rPr>
          <w:rFonts w:eastAsia="Calibri"/>
        </w:rPr>
      </w:pPr>
      <w:r w:rsidRPr="00D326AE">
        <w:rPr>
          <w:rFonts w:eastAsia="Calibri"/>
          <w:b/>
          <w:color w:val="000000"/>
        </w:rPr>
        <w:t>Целью</w:t>
      </w:r>
      <w:r w:rsidRPr="00D326AE">
        <w:rPr>
          <w:rFonts w:eastAsia="Calibri"/>
          <w:color w:val="000000"/>
        </w:rPr>
        <w:t xml:space="preserve"> освоения дисциплины является формирование у аспирантов углубленных профессиональных знаний в </w:t>
      </w:r>
      <w:r w:rsidRPr="00D326AE">
        <w:rPr>
          <w:color w:val="000000"/>
        </w:rPr>
        <w:t xml:space="preserve">области исследования фундаментальной иммунологии, а именно – </w:t>
      </w:r>
      <w:r w:rsidRPr="00D326AE">
        <w:rPr>
          <w:rFonts w:eastAsia="Calibri"/>
        </w:rPr>
        <w:t>формирование иммунной системы в онтогенезе,</w:t>
      </w:r>
      <w:r w:rsidRPr="00D326AE">
        <w:rPr>
          <w:rFonts w:ascii="Calibri" w:eastAsia="Calibri" w:hAnsi="Calibri"/>
        </w:rPr>
        <w:t xml:space="preserve"> </w:t>
      </w:r>
      <w:r w:rsidRPr="00D326AE">
        <w:rPr>
          <w:rFonts w:eastAsia="Calibri"/>
        </w:rPr>
        <w:t>гемопоэз,</w:t>
      </w:r>
      <w:r w:rsidRPr="00D326AE">
        <w:rPr>
          <w:rFonts w:ascii="Calibri" w:eastAsia="Calibri" w:hAnsi="Calibri"/>
        </w:rPr>
        <w:t xml:space="preserve"> </w:t>
      </w:r>
      <w:r w:rsidRPr="00D326AE">
        <w:rPr>
          <w:rFonts w:eastAsia="Calibri"/>
        </w:rPr>
        <w:t>фенотипическа</w:t>
      </w:r>
      <w:r w:rsidRPr="00D326AE">
        <w:rPr>
          <w:color w:val="000000"/>
        </w:rPr>
        <w:t>я и функциональная характеристика иммунокомпетентных клеток (ИКК), цитокины, роль ИКК в иммунном ответе в норме и при различных иммунопатологических состояниях и иммунотерапии.</w:t>
      </w:r>
      <w:r w:rsidRPr="00D326AE">
        <w:rPr>
          <w:rFonts w:eastAsia="Calibri"/>
        </w:rPr>
        <w:t xml:space="preserve"> </w:t>
      </w:r>
    </w:p>
    <w:p w14:paraId="1C3221DA" w14:textId="77777777" w:rsidR="00BC7DEC" w:rsidRPr="00D326AE" w:rsidRDefault="00BC7DEC" w:rsidP="00BC7DEC">
      <w:pPr>
        <w:spacing w:line="276" w:lineRule="auto"/>
        <w:ind w:left="567"/>
        <w:outlineLvl w:val="0"/>
        <w:rPr>
          <w:color w:val="000000"/>
          <w:lang w:eastAsia="x-none"/>
        </w:rPr>
      </w:pPr>
      <w:r w:rsidRPr="00D326AE">
        <w:rPr>
          <w:color w:val="000000"/>
          <w:lang w:val="x-none" w:eastAsia="x-none"/>
        </w:rPr>
        <w:t xml:space="preserve">Объем дисциплины – </w:t>
      </w:r>
      <w:r w:rsidRPr="00D326AE">
        <w:rPr>
          <w:color w:val="000000"/>
          <w:lang w:eastAsia="x-none"/>
        </w:rPr>
        <w:t>1</w:t>
      </w:r>
      <w:r w:rsidRPr="00D326AE">
        <w:rPr>
          <w:color w:val="000000"/>
          <w:lang w:val="x-none" w:eastAsia="x-none"/>
        </w:rPr>
        <w:t xml:space="preserve"> зачетн</w:t>
      </w:r>
      <w:r w:rsidRPr="00D326AE">
        <w:rPr>
          <w:color w:val="000000"/>
          <w:lang w:eastAsia="x-none"/>
        </w:rPr>
        <w:t>ая</w:t>
      </w:r>
      <w:r w:rsidRPr="00D326AE">
        <w:rPr>
          <w:color w:val="000000"/>
          <w:lang w:val="x-none" w:eastAsia="x-none"/>
        </w:rPr>
        <w:t xml:space="preserve"> единиц</w:t>
      </w:r>
      <w:r w:rsidRPr="00D326AE">
        <w:rPr>
          <w:color w:val="000000"/>
          <w:lang w:eastAsia="x-none"/>
        </w:rPr>
        <w:t>а</w:t>
      </w:r>
      <w:r w:rsidRPr="00D326AE">
        <w:rPr>
          <w:color w:val="000000"/>
          <w:lang w:val="x-none" w:eastAsia="x-none"/>
        </w:rPr>
        <w:t xml:space="preserve"> (ЗЕ) или </w:t>
      </w:r>
      <w:r w:rsidRPr="00D326AE">
        <w:rPr>
          <w:color w:val="000000"/>
          <w:lang w:eastAsia="x-none"/>
        </w:rPr>
        <w:t>36</w:t>
      </w:r>
      <w:r w:rsidRPr="00D326AE">
        <w:rPr>
          <w:color w:val="000000"/>
          <w:lang w:val="x-none" w:eastAsia="x-none"/>
        </w:rPr>
        <w:t xml:space="preserve">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BC7DEC" w:rsidRPr="00D326AE" w14:paraId="799DE820" w14:textId="77777777" w:rsidTr="00997C8B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4A496470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 xml:space="preserve">Вид учебной работы </w:t>
            </w:r>
          </w:p>
        </w:tc>
        <w:tc>
          <w:tcPr>
            <w:tcW w:w="1058" w:type="pct"/>
            <w:vAlign w:val="center"/>
          </w:tcPr>
          <w:p w14:paraId="7C9EF806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BC7DEC" w:rsidRPr="00D326AE" w14:paraId="70CC6AF1" w14:textId="77777777" w:rsidTr="00997C8B">
        <w:trPr>
          <w:trHeight w:val="340"/>
        </w:trPr>
        <w:tc>
          <w:tcPr>
            <w:tcW w:w="3942" w:type="pct"/>
            <w:gridSpan w:val="2"/>
            <w:vAlign w:val="center"/>
          </w:tcPr>
          <w:p w14:paraId="39DF0DD5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3D22881C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20</w:t>
            </w:r>
          </w:p>
        </w:tc>
      </w:tr>
      <w:tr w:rsidR="00BC7DEC" w:rsidRPr="00D326AE" w14:paraId="7837CF11" w14:textId="77777777" w:rsidTr="00997C8B">
        <w:trPr>
          <w:trHeight w:val="340"/>
        </w:trPr>
        <w:tc>
          <w:tcPr>
            <w:tcW w:w="3942" w:type="pct"/>
            <w:gridSpan w:val="2"/>
          </w:tcPr>
          <w:p w14:paraId="6D2F9868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55F6CD88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20</w:t>
            </w:r>
          </w:p>
        </w:tc>
      </w:tr>
      <w:tr w:rsidR="00BC7DEC" w:rsidRPr="00D326AE" w14:paraId="54BA216C" w14:textId="77777777" w:rsidTr="00997C8B">
        <w:trPr>
          <w:trHeight w:val="340"/>
        </w:trPr>
        <w:tc>
          <w:tcPr>
            <w:tcW w:w="3942" w:type="pct"/>
            <w:gridSpan w:val="2"/>
          </w:tcPr>
          <w:p w14:paraId="100FB843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461CAA32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BC7DEC" w:rsidRPr="00D326AE" w14:paraId="237689B2" w14:textId="77777777" w:rsidTr="00997C8B">
        <w:trPr>
          <w:trHeight w:val="340"/>
        </w:trPr>
        <w:tc>
          <w:tcPr>
            <w:tcW w:w="3942" w:type="pct"/>
            <w:gridSpan w:val="2"/>
          </w:tcPr>
          <w:p w14:paraId="03A0FD3C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521FA7D5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highlight w:val="green"/>
              </w:rPr>
            </w:pPr>
            <w:r w:rsidRPr="00D326AE">
              <w:rPr>
                <w:rFonts w:eastAsia="Calibri"/>
                <w:bCs/>
                <w:color w:val="000000"/>
              </w:rPr>
              <w:t>14</w:t>
            </w:r>
          </w:p>
        </w:tc>
      </w:tr>
      <w:tr w:rsidR="00BC7DEC" w:rsidRPr="00D326AE" w14:paraId="0EABB1A3" w14:textId="77777777" w:rsidTr="00997C8B">
        <w:trPr>
          <w:trHeight w:val="340"/>
        </w:trPr>
        <w:tc>
          <w:tcPr>
            <w:tcW w:w="3942" w:type="pct"/>
            <w:gridSpan w:val="2"/>
          </w:tcPr>
          <w:p w14:paraId="158D3A0C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65F8A3AB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highlight w:val="green"/>
              </w:rPr>
            </w:pPr>
            <w:r w:rsidRPr="00D326AE">
              <w:rPr>
                <w:rFonts w:eastAsia="Calibri"/>
                <w:bCs/>
                <w:color w:val="000000"/>
              </w:rPr>
              <w:t>6</w:t>
            </w:r>
          </w:p>
        </w:tc>
      </w:tr>
      <w:tr w:rsidR="00BC7DEC" w:rsidRPr="00D326AE" w14:paraId="4238B261" w14:textId="77777777" w:rsidTr="00997C8B">
        <w:trPr>
          <w:trHeight w:val="340"/>
        </w:trPr>
        <w:tc>
          <w:tcPr>
            <w:tcW w:w="3942" w:type="pct"/>
            <w:gridSpan w:val="2"/>
          </w:tcPr>
          <w:p w14:paraId="6BCA7DDF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524BD50A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C7DEC" w:rsidRPr="00D326AE" w14:paraId="6C809210" w14:textId="77777777" w:rsidTr="00997C8B">
        <w:trPr>
          <w:trHeight w:val="340"/>
        </w:trPr>
        <w:tc>
          <w:tcPr>
            <w:tcW w:w="3942" w:type="pct"/>
            <w:gridSpan w:val="2"/>
          </w:tcPr>
          <w:p w14:paraId="14201399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2D9C9EB0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C7DEC" w:rsidRPr="00D326AE" w14:paraId="1AFE5D41" w14:textId="77777777" w:rsidTr="00997C8B">
        <w:trPr>
          <w:trHeight w:val="340"/>
        </w:trPr>
        <w:tc>
          <w:tcPr>
            <w:tcW w:w="3942" w:type="pct"/>
            <w:gridSpan w:val="2"/>
          </w:tcPr>
          <w:p w14:paraId="1B705EA2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40EB3934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C7DEC" w:rsidRPr="00D326AE" w14:paraId="6762CDC8" w14:textId="77777777" w:rsidTr="00997C8B">
        <w:trPr>
          <w:trHeight w:val="340"/>
        </w:trPr>
        <w:tc>
          <w:tcPr>
            <w:tcW w:w="3942" w:type="pct"/>
            <w:gridSpan w:val="2"/>
          </w:tcPr>
          <w:p w14:paraId="2B4C4687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283A8090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C7DEC" w:rsidRPr="00D326AE" w14:paraId="328802C5" w14:textId="77777777" w:rsidTr="00997C8B">
        <w:trPr>
          <w:trHeight w:val="340"/>
        </w:trPr>
        <w:tc>
          <w:tcPr>
            <w:tcW w:w="3942" w:type="pct"/>
            <w:gridSpan w:val="2"/>
          </w:tcPr>
          <w:p w14:paraId="547D57B5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679AA3BA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C7DEC" w:rsidRPr="00D326AE" w14:paraId="413AB754" w14:textId="77777777" w:rsidTr="00997C8B">
        <w:trPr>
          <w:trHeight w:val="340"/>
        </w:trPr>
        <w:tc>
          <w:tcPr>
            <w:tcW w:w="3942" w:type="pct"/>
            <w:gridSpan w:val="2"/>
          </w:tcPr>
          <w:p w14:paraId="26DEFE22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53C82B87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C7DEC" w:rsidRPr="00D326AE" w14:paraId="6BD7B857" w14:textId="77777777" w:rsidTr="00997C8B">
        <w:trPr>
          <w:trHeight w:val="340"/>
        </w:trPr>
        <w:tc>
          <w:tcPr>
            <w:tcW w:w="3942" w:type="pct"/>
            <w:gridSpan w:val="2"/>
          </w:tcPr>
          <w:p w14:paraId="0497F0D4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53FEAA4A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16</w:t>
            </w:r>
          </w:p>
        </w:tc>
      </w:tr>
      <w:tr w:rsidR="00BC7DEC" w:rsidRPr="00D326AE" w14:paraId="66DDA04A" w14:textId="77777777" w:rsidTr="00997C8B">
        <w:trPr>
          <w:trHeight w:val="340"/>
        </w:trPr>
        <w:tc>
          <w:tcPr>
            <w:tcW w:w="3942" w:type="pct"/>
            <w:gridSpan w:val="2"/>
          </w:tcPr>
          <w:p w14:paraId="4DC7CB2E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>в том числе: реферат</w:t>
            </w:r>
          </w:p>
        </w:tc>
        <w:tc>
          <w:tcPr>
            <w:tcW w:w="1058" w:type="pct"/>
          </w:tcPr>
          <w:p w14:paraId="04CA7B02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highlight w:val="green"/>
              </w:rPr>
            </w:pPr>
          </w:p>
        </w:tc>
      </w:tr>
      <w:tr w:rsidR="00BC7DEC" w:rsidRPr="00D326AE" w14:paraId="50EBEF44" w14:textId="77777777" w:rsidTr="00997C8B">
        <w:trPr>
          <w:trHeight w:val="340"/>
        </w:trPr>
        <w:tc>
          <w:tcPr>
            <w:tcW w:w="3942" w:type="pct"/>
            <w:gridSpan w:val="2"/>
          </w:tcPr>
          <w:p w14:paraId="5F5B294C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Вид промежуточной аттестации зачет (З)</w:t>
            </w:r>
          </w:p>
        </w:tc>
        <w:tc>
          <w:tcPr>
            <w:tcW w:w="1058" w:type="pct"/>
          </w:tcPr>
          <w:p w14:paraId="474C3076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BC7DEC" w:rsidRPr="00D326AE" w14:paraId="48012CF9" w14:textId="77777777" w:rsidTr="00997C8B">
        <w:trPr>
          <w:trHeight w:val="340"/>
        </w:trPr>
        <w:tc>
          <w:tcPr>
            <w:tcW w:w="1241" w:type="pct"/>
            <w:vMerge w:val="restart"/>
          </w:tcPr>
          <w:p w14:paraId="0646D9BA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671B55C3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1EB60597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BC7DEC" w:rsidRPr="00D326AE" w14:paraId="5081AB9A" w14:textId="77777777" w:rsidTr="00997C8B">
        <w:trPr>
          <w:trHeight w:val="340"/>
        </w:trPr>
        <w:tc>
          <w:tcPr>
            <w:tcW w:w="1241" w:type="pct"/>
            <w:vMerge/>
          </w:tcPr>
          <w:p w14:paraId="7027325B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2AC3CE76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34D45305" w14:textId="77777777" w:rsidR="00BC7DEC" w:rsidRPr="00D326AE" w:rsidRDefault="00BC7DEC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1</w:t>
            </w:r>
          </w:p>
        </w:tc>
      </w:tr>
    </w:tbl>
    <w:p w14:paraId="19A1030C" w14:textId="77777777" w:rsidR="00BC7DEC" w:rsidRPr="00D326AE" w:rsidRDefault="00BC7DEC" w:rsidP="00BC7DEC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326AE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50FE9D81" w14:textId="77777777" w:rsidR="00BC7DEC" w:rsidRPr="00D326AE" w:rsidRDefault="00BC7DEC" w:rsidP="00BC7DEC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326AE">
        <w:rPr>
          <w:rFonts w:eastAsia="MS Mincho"/>
        </w:rPr>
        <w:lastRenderedPageBreak/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52ED35E7" w14:textId="77777777" w:rsidR="00BC7DEC" w:rsidRPr="00D326AE" w:rsidRDefault="00BC7DEC" w:rsidP="00BC7DEC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326AE">
        <w:rPr>
          <w:rFonts w:eastAsia="MS Mincho"/>
        </w:rPr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Презентации позволяют качественно иллюстрировать практические занятия схемами, формулами, диаграммами, рисунками. Кроме того, презентации позволяют четко структурировать материал занятия. Электронная презентация позволяет отобразить процессы в динамике, что позволяет улучшить восприятие материала. </w:t>
      </w:r>
    </w:p>
    <w:p w14:paraId="7139C92A" w14:textId="77777777" w:rsidR="00BC7DEC" w:rsidRPr="00D326AE" w:rsidRDefault="00BC7DEC" w:rsidP="00BC7DEC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326AE">
        <w:t xml:space="preserve">Аспиранты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D326AE">
        <w:rPr>
          <w:rFonts w:eastAsia="MS Mincho"/>
        </w:rPr>
        <w:t>также в домашних условиях.</w:t>
      </w:r>
      <w:r w:rsidRPr="00D326AE">
        <w:rPr>
          <w:iCs/>
        </w:rPr>
        <w:t xml:space="preserve"> Для обеспечения самостоятельной работы аспиранта наиболее рациональным ресурсом является сеть интернет, поскольку на сайтах постоянно идет обновление информации, и пользователь (аспирант) может получить актуальную информацию по интересующему его вопросу.</w:t>
      </w:r>
    </w:p>
    <w:p w14:paraId="50E73FD3" w14:textId="77777777" w:rsidR="00BC7DEC" w:rsidRPr="00D326AE" w:rsidRDefault="00BC7DEC" w:rsidP="00BC7DEC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x-none"/>
        </w:rPr>
      </w:pPr>
      <w:r w:rsidRPr="00D326AE">
        <w:rPr>
          <w:rFonts w:eastAsia="MS Mincho"/>
        </w:rPr>
        <w:t>Промежуточная аттестация – зачет.</w:t>
      </w:r>
    </w:p>
    <w:p w14:paraId="52886D53" w14:textId="77777777" w:rsidR="00BC7DEC" w:rsidRDefault="00BC7DEC" w:rsidP="00BC7DEC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14:paraId="4F15665F" w14:textId="77777777" w:rsidR="00445DD3" w:rsidRDefault="00445DD3">
      <w:bookmarkStart w:id="0" w:name="_GoBack"/>
      <w:bookmarkEnd w:id="0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D6"/>
    <w:rsid w:val="000579D6"/>
    <w:rsid w:val="00445DD3"/>
    <w:rsid w:val="00B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E29F-E0F4-4274-91DB-A8C415C0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2023-05-29T10:44:00Z</dcterms:created>
  <dcterms:modified xsi:type="dcterms:W3CDTF">2023-05-29T10:44:00Z</dcterms:modified>
</cp:coreProperties>
</file>